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sans-serif;Arial" w:ascii="sans-serif;Arial" w:hAnsi="sans-serif;Arial"/>
          <w:sz w:val="24"/>
          <w:szCs w:val="24"/>
        </w:rPr>
        <w:t xml:space="preserve">Brussels, </w:t>
      </w:r>
      <w:r>
        <w:rPr>
          <w:rFonts w:cs="sans-serif;Arial" w:ascii="sans-serif;Arial" w:hAnsi="sans-serif;Arial"/>
          <w:sz w:val="24"/>
          <w:szCs w:val="24"/>
        </w:rPr>
        <w:t>2</w:t>
      </w:r>
      <w:r>
        <w:rPr>
          <w:rFonts w:cs="sans-serif;Arial" w:ascii="sans-serif;Arial" w:hAnsi="sans-serif;Arial"/>
          <w:sz w:val="24"/>
          <w:szCs w:val="24"/>
        </w:rPr>
        <w:t>0</w:t>
      </w:r>
      <w:r>
        <w:rPr>
          <w:rFonts w:cs="sans-serif;Arial" w:ascii="sans-serif;Arial" w:hAnsi="sans-serif;Arial"/>
          <w:sz w:val="24"/>
          <w:szCs w:val="24"/>
          <w:vertAlign w:val="superscript"/>
        </w:rPr>
        <w:t>th</w:t>
      </w:r>
      <w:r>
        <w:rPr>
          <w:rFonts w:cs="sans-serif;Arial" w:ascii="sans-serif;Arial" w:hAnsi="sans-serif;Arial"/>
          <w:sz w:val="24"/>
          <w:szCs w:val="24"/>
        </w:rPr>
        <w:t xml:space="preserve"> June 2016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 xml:space="preserve">To: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 xml:space="preserve">EU Environmental Council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>EU Environment Ministers</w:t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 xml:space="preserve">EU Member States permanent representations to the EU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>Dear representative,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>the</w:t>
      </w:r>
      <w:hyperlink r:id="rId2">
        <w:r>
          <w:rPr>
            <w:rStyle w:val="InternetLink"/>
            <w:rFonts w:cs="sans-serif;Arial" w:ascii="sans-serif;Arial" w:hAnsi="sans-serif;Arial"/>
            <w:sz w:val="24"/>
            <w:szCs w:val="24"/>
          </w:rPr>
          <w:t xml:space="preserve"> Zero Waste Europe network</w:t>
        </w:r>
      </w:hyperlink>
      <w:r>
        <w:rPr>
          <w:rFonts w:cs="sans-serif;Arial" w:ascii="sans-serif;Arial" w:hAnsi="sans-serif;Arial"/>
          <w:sz w:val="24"/>
          <w:szCs w:val="24"/>
        </w:rPr>
        <w:t xml:space="preserve"> are writing to you to express our support for number of urgent priorities for the National Emissions Ceilings (NEC) Directive currently being negotiated.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>We strongly support the revision of the NEC Directive, as it is an essential piece of legislation for improving local air quality, a clean environment and securing public health.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 xml:space="preserve">Most importantly, we particularly welcome the inclusion of targets for Particulate Matter </w:t>
      </w:r>
      <w:r>
        <w:rPr>
          <w:rFonts w:cs="sans-serif;Arial" w:ascii="sans-serif;Arial" w:hAnsi="sans-serif;Arial"/>
          <w:sz w:val="24"/>
          <w:szCs w:val="24"/>
        </w:rPr>
        <w:t>(PM</w:t>
      </w:r>
      <w:r>
        <w:rPr>
          <w:rFonts w:cs="sans-serif;Arial" w:ascii="sans-serif;Arial" w:hAnsi="sans-serif;Arial"/>
          <w:sz w:val="24"/>
          <w:szCs w:val="24"/>
          <w:vertAlign w:val="subscript"/>
        </w:rPr>
        <w:t>2,5</w:t>
      </w:r>
      <w:r>
        <w:rPr>
          <w:rFonts w:cs="sans-serif;Arial" w:ascii="sans-serif;Arial" w:hAnsi="sans-serif;Arial"/>
          <w:sz w:val="24"/>
          <w:szCs w:val="24"/>
        </w:rPr>
        <w:t>)</w:t>
      </w:r>
      <w:r>
        <w:rPr>
          <w:rFonts w:cs="sans-serif;Arial" w:ascii="sans-serif;Arial" w:hAnsi="sans-serif;Arial"/>
          <w:sz w:val="24"/>
          <w:szCs w:val="24"/>
        </w:rPr>
        <w:t>, which are often the result of unsustainable waste disposal practices, particularly waste incineration or so-called</w:t>
      </w:r>
      <w:r>
        <w:rPr>
          <w:rFonts w:cs="sans-serif;Arial" w:ascii="sans-serif;Arial" w:hAnsi="sans-serif;Arial"/>
          <w:sz w:val="24"/>
          <w:szCs w:val="24"/>
        </w:rPr>
        <w:t xml:space="preserve"> </w:t>
      </w:r>
      <w:r>
        <w:rPr>
          <w:rFonts w:cs="sans-serif;Arial" w:ascii="sans-serif;Arial" w:hAnsi="sans-serif;Arial"/>
          <w:sz w:val="24"/>
          <w:szCs w:val="24"/>
        </w:rPr>
        <w:t xml:space="preserve">waste-to-energy </w:t>
      </w:r>
      <w:r>
        <w:rPr>
          <w:rFonts w:cs="sans-serif;Arial" w:ascii="sans-serif;Arial" w:hAnsi="sans-serif;Arial"/>
          <w:sz w:val="24"/>
          <w:szCs w:val="24"/>
        </w:rPr>
        <w:t>incineration</w:t>
      </w:r>
      <w:r>
        <w:rPr>
          <w:rFonts w:cs="sans-serif;Arial" w:ascii="sans-serif;Arial" w:hAnsi="sans-serif;Arial"/>
          <w:sz w:val="24"/>
          <w:szCs w:val="24"/>
        </w:rPr>
        <w:t>. A recent study (Aboh, et al. 2007) that looked into a medium sized city in southwestern Sweden, clearly identified their new modern incinerator as the single most significant source of PM2.5’s.</w:t>
      </w:r>
      <w:r>
        <w:rPr>
          <w:rStyle w:val="FootnoteAnchor"/>
          <w:rFonts w:cs="sans-serif;Arial" w:ascii="sans-serif;Arial" w:hAnsi="sans-serif;Arial"/>
          <w:sz w:val="24"/>
          <w:szCs w:val="24"/>
        </w:rPr>
        <w:footnoteReference w:id="2"/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 xml:space="preserve">Still, evidence from the waste incineration industry shows that filter bag systems used to collect the PM and other toxic emissions have a much lower efficiency rate with fine </w:t>
      </w:r>
      <w:r>
        <w:rPr>
          <w:rFonts w:cs="sans-serif;Arial" w:ascii="sans-serif;Arial" w:hAnsi="sans-serif;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PM&lt;2.5: </w:t>
      </w:r>
      <w:r>
        <w:rPr>
          <w:rFonts w:cs="sans-serif;Arial" w:ascii="sans-serif;Arial" w:hAnsi="sans-serif;Arial"/>
          <w:sz w:val="24"/>
          <w:szCs w:val="24"/>
        </w:rPr>
        <w:t>“…baghouse filter collection efficiency was 95-99% for PM10s, 65-70% for PM2.5s, and only 5-30% for particles smaller than 2.5 microns, even before the filters become coated with lime and activated carbon”.</w:t>
      </w:r>
      <w:r>
        <w:rPr>
          <w:rStyle w:val="FootnoteAnchor"/>
          <w:rFonts w:cs="sans-serif;Arial" w:ascii="sans-serif;Arial" w:hAnsi="sans-serif;Arial"/>
          <w:sz w:val="24"/>
          <w:szCs w:val="24"/>
        </w:rPr>
        <w:footnoteReference w:id="3"/>
      </w:r>
      <w:r>
        <w:rPr>
          <w:rFonts w:cs="sans-serif;Arial" w:ascii="sans-serif;Arial" w:hAnsi="sans-serif;Arial"/>
          <w:sz w:val="24"/>
          <w:szCs w:val="24"/>
        </w:rPr>
        <w:t xml:space="preserve">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 xml:space="preserve">As shown by the report </w:t>
      </w:r>
      <w:hyperlink r:id="rId3">
        <w:r>
          <w:rPr>
            <w:rStyle w:val="InternetLink"/>
            <w:rFonts w:cs="sans-serif;Arial" w:ascii="sans-serif;Arial" w:hAnsi="sans-serif;Arial"/>
            <w:sz w:val="24"/>
            <w:szCs w:val="24"/>
          </w:rPr>
          <w:t>Air Polution from Waste Disposal: Not for Public Breath</w:t>
        </w:r>
      </w:hyperlink>
      <w:r>
        <w:rPr>
          <w:rFonts w:cs="sans-serif;Arial" w:ascii="sans-serif;Arial" w:hAnsi="sans-serif;Arial"/>
          <w:sz w:val="24"/>
          <w:szCs w:val="24"/>
        </w:rPr>
        <w:t xml:space="preserve">, waste incineration activities have had serious breaches of emission limits and have experienced other significant technical and legal problems, both in incineration facilities and cement plants across Europe.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>Case studies in the UK, France, Slovenia, Spain and Germany exposed a number of environmental, procedural and technical issues faced by waste incinerators, producing an excessive and unsustainable amount of air pollution, particularly PM.</w:t>
      </w:r>
      <w:r>
        <w:rPr>
          <w:rStyle w:val="FootnoteAnchor"/>
          <w:rFonts w:cs="sans-serif;Arial" w:ascii="sans-serif;Arial" w:hAnsi="sans-serif;Arial"/>
          <w:sz w:val="24"/>
          <w:szCs w:val="24"/>
        </w:rPr>
        <w:footnoteReference w:id="4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>Following the above</w:t>
      </w:r>
      <w:r>
        <w:rPr>
          <w:rFonts w:cs="sans-serif;Arial" w:ascii="sans-serif;Arial" w:hAnsi="sans-serif;Arial"/>
          <w:sz w:val="24"/>
          <w:szCs w:val="24"/>
        </w:rPr>
        <w:t>, we are particularly concerned by the proposed weakening of PM2.5 commitments, as these pollutants have severe impact in human health and are of particular concern in urban environments.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 xml:space="preserve">It's necessary that NEC Directive </w:t>
      </w:r>
      <w:r>
        <w:rPr>
          <w:rFonts w:cs="sans-serif;Arial" w:ascii="sans-serif;Arial" w:hAnsi="sans-serif;Arial"/>
          <w:sz w:val="24"/>
          <w:szCs w:val="24"/>
        </w:rPr>
        <w:t>maintains</w:t>
      </w:r>
      <w:r>
        <w:rPr>
          <w:rFonts w:cs="sans-serif;Arial" w:ascii="sans-serif;Arial" w:hAnsi="sans-serif;Arial"/>
          <w:sz w:val="24"/>
          <w:szCs w:val="24"/>
        </w:rPr>
        <w:t xml:space="preserve"> high ambition and ensures that local air pollution limits are achieved and air pollution effectively reduced. This will further reinforce the EU pathway to a Circular Economy, one that ensures clean air for all Europeans and beyond.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>With this in mind, we urge that the outcome of the NEC Directive revision should include: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 xml:space="preserve">Binding reduction targets for 2025, so that real progress can be made towards improving urban air quality before 2030. 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sans-serif;Arial" w:hAnsi="sans-serif;Arial" w:eastAsia="sans-serif;Arial" w:cs="sans-serif;Arial"/>
          <w:sz w:val="24"/>
          <w:szCs w:val="24"/>
        </w:rPr>
      </w:pPr>
      <w:r>
        <w:rPr>
          <w:rFonts w:eastAsia="sans-serif;Arial" w:cs="sans-serif;Arial" w:ascii="sans-serif;Arial" w:hAnsi="sans-serif;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 xml:space="preserve">Ambitious emission reduction commitments, specially on PM, based on the European Commission proposal and European Parliament’s plenary vote. 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sans-serif;Arial" w:ascii="sans-serif;Arial" w:hAnsi="sans-serif;Arial"/>
          <w:sz w:val="24"/>
          <w:szCs w:val="24"/>
        </w:rPr>
        <w:t>Measures to encourage the reduction of toxic emissions at the so</w:t>
      </w:r>
      <w:r>
        <w:rPr>
          <w:rFonts w:cs="sans-serif;Arial" w:ascii="sans-serif;Arial" w:hAnsi="sans-serif;Arial"/>
          <w:sz w:val="24"/>
          <w:szCs w:val="24"/>
        </w:rPr>
        <w:t>urce</w:t>
      </w:r>
      <w:r>
        <w:rPr>
          <w:rFonts w:cs="sans-serif;Arial" w:ascii="sans-serif;Arial" w:hAnsi="sans-serif;Arial"/>
          <w:sz w:val="24"/>
          <w:szCs w:val="24"/>
        </w:rPr>
        <w:t xml:space="preserve">, providing members states with incentives to take </w:t>
      </w:r>
      <w:r>
        <w:rPr>
          <w:rFonts w:cs="sans-serif;Arial" w:ascii="sans-serif;Arial" w:hAnsi="sans-serif;Arial"/>
          <w:sz w:val="24"/>
          <w:szCs w:val="24"/>
        </w:rPr>
        <w:t>appropriate</w:t>
      </w:r>
      <w:r>
        <w:rPr>
          <w:rFonts w:cs="sans-serif;Arial" w:ascii="sans-serif;Arial" w:hAnsi="sans-serif;Arial"/>
          <w:sz w:val="24"/>
          <w:szCs w:val="24"/>
        </w:rPr>
        <w:t xml:space="preserve"> action. 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sans-serif;Arial" w:ascii="sans-serif;Arial" w:hAnsi="sans-serif;Arial"/>
          <w:sz w:val="24"/>
          <w:szCs w:val="24"/>
        </w:rPr>
        <w:t xml:space="preserve">Strong monitoring and reporting measures, ensuring transparency and avoidance of any potential loopholes </w:t>
      </w:r>
      <w:r>
        <w:rPr>
          <w:rFonts w:cs="sans-serif;Arial" w:ascii="sans-serif;Arial" w:hAnsi="sans-serif;Arial"/>
          <w:sz w:val="24"/>
          <w:szCs w:val="24"/>
        </w:rPr>
        <w:t>or flexibilities</w:t>
      </w:r>
      <w:r>
        <w:rPr>
          <w:rFonts w:cs="sans-serif;Arial" w:ascii="sans-serif;Arial" w:hAnsi="sans-serif;Arial"/>
          <w:sz w:val="24"/>
          <w:szCs w:val="24"/>
        </w:rPr>
        <w:t xml:space="preserve"> which can undermine member states’ ability to comply with the directive </w:t>
      </w:r>
      <w:r>
        <w:rPr>
          <w:rFonts w:cs="sans-serif;Arial" w:ascii="sans-serif;Arial" w:hAnsi="sans-serif;Arial"/>
          <w:sz w:val="24"/>
          <w:szCs w:val="24"/>
        </w:rPr>
        <w:t>and effectively reduce toxic emissions</w:t>
      </w:r>
      <w:r>
        <w:rPr>
          <w:rFonts w:cs="sans-serif;Arial" w:ascii="sans-serif;Arial" w:hAnsi="sans-serif;Arial"/>
          <w:sz w:val="24"/>
          <w:szCs w:val="24"/>
        </w:rPr>
        <w:t xml:space="preserve">.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/>
      </w:pPr>
      <w:r>
        <w:rPr>
          <w:rFonts w:cs="sans-serif;Arial" w:ascii="sans-serif;Arial" w:hAnsi="sans-serif;Arial"/>
          <w:sz w:val="24"/>
          <w:szCs w:val="24"/>
        </w:rPr>
        <w:t xml:space="preserve">While the </w:t>
      </w:r>
      <w:hyperlink r:id="rId4">
        <w:r>
          <w:rPr>
            <w:rStyle w:val="InternetLink"/>
            <w:rFonts w:cs="sans-serif;Arial" w:ascii="sans-serif;Arial" w:hAnsi="sans-serif;Arial"/>
            <w:sz w:val="24"/>
            <w:szCs w:val="24"/>
          </w:rPr>
          <w:t>Zero Waste Europe network</w:t>
        </w:r>
      </w:hyperlink>
      <w:r>
        <w:rPr>
          <w:rFonts w:cs="sans-serif;Arial" w:ascii="sans-serif;Arial" w:hAnsi="sans-serif;Arial"/>
          <w:sz w:val="24"/>
          <w:szCs w:val="24"/>
        </w:rPr>
        <w:t xml:space="preserve">, together with the </w:t>
      </w:r>
      <w:hyperlink r:id="rId5">
        <w:r>
          <w:rPr>
            <w:rStyle w:val="InternetLink"/>
            <w:rFonts w:cs="sans-serif;Arial" w:ascii="sans-serif;Arial" w:hAnsi="sans-serif;Arial"/>
            <w:sz w:val="24"/>
            <w:szCs w:val="24"/>
          </w:rPr>
          <w:t xml:space="preserve">Network of Zero </w:t>
        </w:r>
        <w:r>
          <w:rPr>
            <w:rStyle w:val="InternetLink"/>
            <w:rFonts w:cs="sans-serif;Arial" w:ascii="sans-serif;Arial" w:hAnsi="sans-serif;Arial"/>
            <w:sz w:val="24"/>
            <w:szCs w:val="24"/>
          </w:rPr>
          <w:t>W</w:t>
        </w:r>
        <w:r>
          <w:rPr>
            <w:rStyle w:val="InternetLink"/>
            <w:rFonts w:cs="sans-serif;Arial" w:ascii="sans-serif;Arial" w:hAnsi="sans-serif;Arial"/>
            <w:sz w:val="24"/>
            <w:szCs w:val="24"/>
          </w:rPr>
          <w:t>aste Municipalities</w:t>
        </w:r>
      </w:hyperlink>
      <w:r>
        <w:rPr>
          <w:rFonts w:cs="sans-serif;Arial" w:ascii="sans-serif;Arial" w:hAnsi="sans-serif;Arial"/>
          <w:sz w:val="24"/>
          <w:szCs w:val="24"/>
        </w:rPr>
        <w:t xml:space="preserve"> will continue working to promote and implement resource-efficient systems, free from toxic emissions, we urge you to support the highest ambition possible with the above mentioned measures in the final round of negotiations on the NECD. 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>Signed: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  <w:t>Zero Waste Europe</w:t>
      </w:r>
    </w:p>
    <w:p>
      <w:pPr>
        <w:pStyle w:val="Normal"/>
        <w:rPr>
          <w:rFonts w:ascii="sans-serif;Arial" w:hAnsi="sans-serif;Arial" w:cs="sans-serif;Arial"/>
          <w:sz w:val="24"/>
          <w:szCs w:val="24"/>
        </w:rPr>
      </w:pPr>
      <w:r>
        <w:rPr>
          <w:rFonts w:cs="sans-serif;Arial" w:ascii="sans-serif;Arial" w:hAnsi="sans-serif;Arial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134" w:right="1134" w:header="1134" w:top="1755" w:footer="624" w:bottom="11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hyperlink r:id="rId1">
      <w:r>
        <w:rPr>
          <w:rStyle w:val="InternetLink"/>
          <w:rFonts w:cs="Tahoma" w:ascii="Tahoma" w:hAnsi="Tahoma"/>
          <w:color w:val="0C4DA2"/>
          <w:sz w:val="20"/>
          <w:szCs w:val="20"/>
        </w:rPr>
        <w:t>www.zerowasteeurope.eu</w:t>
      </w:r>
    </w:hyperlink>
    <w:r>
      <w:rPr>
        <w:rFonts w:cs="Tahoma" w:ascii="Tahoma" w:hAnsi="Tahoma"/>
        <w:color w:val="0C4DA2"/>
        <w:sz w:val="20"/>
        <w:szCs w:val="20"/>
      </w:rPr>
      <w:tab/>
      <w:t xml:space="preserve"> </w:t>
    </w:r>
    <w:r>
      <w:rPr>
        <w:rFonts w:eastAsia="Tahoma" w:cs="Tahoma" w:ascii="Tahoma" w:hAnsi="Tahoma"/>
        <w:color w:val="0C4DA2"/>
        <w:sz w:val="20"/>
        <w:szCs w:val="20"/>
      </w:rPr>
      <w:t xml:space="preserve">● </w:t>
    </w:r>
    <w:r>
      <w:rPr>
        <w:rFonts w:cs="Tahoma" w:ascii="Tahoma" w:hAnsi="Tahoma"/>
        <w:color w:val="0C4DA2"/>
        <w:sz w:val="20"/>
        <w:szCs w:val="20"/>
      </w:rPr>
      <w:t xml:space="preserve">Zero Waste Europe </w:t>
    </w:r>
    <w:r>
      <w:rPr>
        <w:rFonts w:eastAsia="Tahoma" w:cs="Tahoma" w:ascii="Tahoma" w:hAnsi="Tahoma"/>
        <w:color w:val="0C4DA2"/>
        <w:sz w:val="20"/>
        <w:szCs w:val="20"/>
      </w:rPr>
      <w:t xml:space="preserve">● </w:t>
    </w:r>
    <w:r>
      <w:rPr>
        <w:rFonts w:cs="Tahoma" w:ascii="Tahoma" w:hAnsi="Tahoma"/>
        <w:color w:val="0C4DA2"/>
        <w:sz w:val="20"/>
        <w:szCs w:val="20"/>
      </w:rPr>
      <w:t>Rue de la Pepiniere, 10, B1000, Brussels, Belgium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>http://senedd.cynulliad.cymru/documents/s7994/Yr%20Athro%20Vyvyan%20Howard%20Papur%202.pdf</w:t>
      </w:r>
    </w:p>
  </w:footnote>
  <w:footnote w:id="3">
    <w:p>
      <w:pPr>
        <w:pStyle w:val="Footnote"/>
        <w:rPr/>
      </w:pPr>
      <w:r>
        <w:rPr/>
        <w:footnoteRef/>
        <w:tab/>
        <w:t>Howard C.V., The health impacts of incineration, with particular reference to the toxicological effects of ultrafine particulate aerosols, organo-chlorines and other emissions. Proof of Evidence submitted to East Sussex and Brighton and Hove Local Plan Public Inquiry, 2003.</w:t>
      </w:r>
    </w:p>
  </w:footnote>
  <w:footnote w:id="4">
    <w:p>
      <w:pPr>
        <w:pStyle w:val="Footnote"/>
        <w:rPr/>
      </w:pPr>
      <w:r>
        <w:rPr/>
        <w:footnoteRef/>
        <w:tab/>
      </w:r>
      <w:r>
        <w:rPr/>
        <w:t>http://www.bsem.org.uk/uploads/IncineratorReport_v3.pdf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ahoma" w:hAnsi="Tahoma" w:cs="Tahoma"/>
        <w:color w:val="0C4DA2"/>
        <w:sz w:val="28"/>
        <w:szCs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275590</wp:posOffset>
              </wp:positionV>
              <wp:extent cx="5567045" cy="3810"/>
              <wp:effectExtent l="0" t="0" r="0" b="0"/>
              <wp:wrapNone/>
              <wp:docPr id="1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632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05pt,21.7pt" to="438.2pt,21.7pt" ID="Shape1" stroked="t" style="position:absolute">
              <v:stroke color="#3465a4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5644515</wp:posOffset>
          </wp:positionH>
          <wp:positionV relativeFrom="paragraph">
            <wp:posOffset>-285750</wp:posOffset>
          </wp:positionV>
          <wp:extent cx="504825" cy="499745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ahoma" w:ascii="Tahoma" w:hAnsi="Tahoma"/>
        <w:color w:val="0C4DA2"/>
        <w:sz w:val="28"/>
        <w:szCs w:val="28"/>
      </w:rPr>
      <w:t>Zero Waste Europe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2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2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2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2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2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2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2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2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2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Tahoma" w:cs="FreeSans"/>
      <w:color w:val="00000A"/>
      <w:sz w:val="24"/>
      <w:szCs w:val="24"/>
      <w:lang w:val="en-GB" w:eastAsia="zh-CN" w:bidi="hi-IN"/>
    </w:rPr>
  </w:style>
  <w:style w:type="character" w:styleId="WW8Num1z0">
    <w:name w:val="WW8Num1z0"/>
    <w:qFormat/>
    <w:rPr>
      <w:rFonts w:ascii="Symbol" w:hAnsi="Symbol" w:cs="OpenSymbol;Arial Unicode MS"/>
      <w:color w:val="051E3F"/>
      <w:sz w:val="22"/>
      <w:szCs w:val="22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  <w:sz w:val="22"/>
      <w:szCs w:val="22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sz w:val="22"/>
      <w:szCs w:val="22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">
    <w:name w:val="ListLabel 1"/>
    <w:qFormat/>
    <w:rPr>
      <w:rFonts w:ascii="sans-serif;Arial" w:hAnsi="sans-serif;Arial" w:cs="OpenSymbol;Arial Unicode MS"/>
      <w:sz w:val="24"/>
      <w:szCs w:val="22"/>
    </w:rPr>
  </w:style>
  <w:style w:type="character" w:styleId="ListLabel2">
    <w:name w:val="ListLabel 2"/>
    <w:qFormat/>
    <w:rPr>
      <w:rFonts w:ascii="sans-serif;Arial" w:hAnsi="sans-serif;Arial" w:cs="OpenSymbol;Arial Unicode MS"/>
      <w:sz w:val="24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erowasteeurope.eu/zw-groups-in-europe/" TargetMode="External"/><Relationship Id="rId3" Type="http://schemas.openxmlformats.org/officeDocument/2006/relationships/hyperlink" Target="https://www.zerowasteeurope.eu/2015/11/press-release-new-report-finds-significant-air-pollution-problems-across-waste-incineration-activities/" TargetMode="External"/><Relationship Id="rId4" Type="http://schemas.openxmlformats.org/officeDocument/2006/relationships/hyperlink" Target="https://www.zerowasteeurope.eu/zw-groups-in-europe/" TargetMode="External"/><Relationship Id="rId5" Type="http://schemas.openxmlformats.org/officeDocument/2006/relationships/hyperlink" Target="http://zerowasteeurope.eu/zerowastecities.e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zerowasteeurope.e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LibreOffice/5.0.5.2$Linux_X86_64 LibreOffice_project/00m0$Build-2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2016-06-14T15:55:18Z</dcterms:created>
  <dc:creator>Mariel Vilella</dc:creator>
  <dc:language>es-ES</dc:language>
  <cp:lastModifiedBy>Mariel Vilella</cp:lastModifiedBy>
  <dcterms:modified xsi:type="dcterms:W3CDTF">2016-06-20T10:44:09Z</dcterms:modified>
  <cp:revision>5</cp:revision>
</cp:coreProperties>
</file>